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55C" w:rsidRPr="00F042B2" w:rsidRDefault="00A5355C" w:rsidP="00A5355C">
      <w:pPr>
        <w:rPr>
          <w:b/>
        </w:rPr>
      </w:pPr>
      <w:bookmarkStart w:id="0" w:name="_GoBack"/>
      <w:bookmarkEnd w:id="0"/>
      <w:r w:rsidRPr="00F042B2">
        <w:rPr>
          <w:b/>
        </w:rPr>
        <w:t xml:space="preserve">Region 1 IEEE Admissions &amp; Advancement Committee </w:t>
      </w:r>
      <w:r w:rsidR="00F042B2" w:rsidRPr="00F042B2">
        <w:rPr>
          <w:b/>
        </w:rPr>
        <w:t xml:space="preserve"> Report</w:t>
      </w:r>
    </w:p>
    <w:p w:rsidR="00A5355C" w:rsidRPr="00F042B2" w:rsidRDefault="005D4026" w:rsidP="00A5355C">
      <w:pPr>
        <w:rPr>
          <w:b/>
        </w:rPr>
      </w:pPr>
      <w:r>
        <w:rPr>
          <w:b/>
        </w:rPr>
        <w:t>July 22</w:t>
      </w:r>
      <w:r w:rsidR="00A5355C" w:rsidRPr="00F042B2">
        <w:rPr>
          <w:b/>
        </w:rPr>
        <w:t xml:space="preserve">, 2016 Santo Mazzola </w:t>
      </w:r>
      <w:hyperlink r:id="rId5" w:history="1">
        <w:r w:rsidR="00A5355C" w:rsidRPr="00F042B2">
          <w:rPr>
            <w:rStyle w:val="Hyperlink"/>
            <w:b/>
          </w:rPr>
          <w:t>mazzolas@ieee.org</w:t>
        </w:r>
      </w:hyperlink>
    </w:p>
    <w:p w:rsidR="00A5355C" w:rsidRPr="00F042B2" w:rsidRDefault="00A5355C" w:rsidP="00A5355C">
      <w:r w:rsidRPr="00F042B2">
        <w:t>Activities:   Supporting and participating in the Joe Cruz and Ruben Barrera-Michel led A&amp;A committee.   </w:t>
      </w:r>
    </w:p>
    <w:p w:rsidR="00A5355C" w:rsidRDefault="00A5355C" w:rsidP="00A5355C">
      <w:r w:rsidRPr="00F042B2">
        <w:t xml:space="preserve">Region 1 has achieved 110 senior member elevations against a goal of 195 for the year.   The next Senior Member Review Panel Meeting will be held on 23 July in Ottawa, Canada. With half </w:t>
      </w:r>
      <w:r w:rsidR="00F042B2">
        <w:t xml:space="preserve">of the planned senior member elevation events passed </w:t>
      </w:r>
      <w:r w:rsidRPr="00F042B2">
        <w:t xml:space="preserve"> Region 1 has achieved 56 % of its goal. </w:t>
      </w:r>
      <w:r w:rsidR="00F042B2">
        <w:t xml:space="preserve"> The goals assessed to Region 1 was 1% of eligible members. </w:t>
      </w:r>
      <w:r w:rsidRPr="00F042B2">
        <w:t xml:space="preserve">Based on this </w:t>
      </w:r>
      <w:r w:rsidR="00F042B2">
        <w:t xml:space="preserve"> R</w:t>
      </w:r>
      <w:r w:rsidRPr="00F042B2">
        <w:t>egion</w:t>
      </w:r>
      <w:r w:rsidR="00294780">
        <w:t xml:space="preserve"> </w:t>
      </w:r>
      <w:r w:rsidRPr="00F042B2">
        <w:t>1 is slightly ahead of its schedule.</w:t>
      </w:r>
      <w:r w:rsidR="00F042B2">
        <w:t xml:space="preserve">  </w:t>
      </w:r>
      <w:r w:rsidRPr="00F042B2">
        <w:t>Region 1 is in good shape to make its goal for the year.   </w:t>
      </w:r>
    </w:p>
    <w:p w:rsidR="00F042B2" w:rsidRPr="00F042B2" w:rsidRDefault="00F042B2" w:rsidP="00A5355C">
      <w:r>
        <w:t>I have been urging sections to hold Senior member Elevation events.</w:t>
      </w:r>
    </w:p>
    <w:p w:rsidR="00A5355C" w:rsidRPr="00F042B2" w:rsidRDefault="00A5355C" w:rsidP="00A5355C">
      <w:r w:rsidRPr="00F042B2">
        <w:t>I am also planning on supporting The November Senior Member</w:t>
      </w:r>
      <w:r w:rsidR="00F042B2">
        <w:t xml:space="preserve"> elevation panel taking place</w:t>
      </w:r>
    </w:p>
    <w:p w:rsidR="00A5355C" w:rsidRDefault="00A5355C" w:rsidP="00A5355C">
      <w:r w:rsidRPr="00F042B2">
        <w:t xml:space="preserve">in New Brunswick, NJ. </w:t>
      </w:r>
    </w:p>
    <w:p w:rsidR="00A5355C" w:rsidRDefault="00A5355C" w:rsidP="00A5355C">
      <w:pPr>
        <w:spacing w:before="100" w:beforeAutospacing="1" w:after="100" w:afterAutospacing="1"/>
      </w:pPr>
      <w:r>
        <w:rPr>
          <w:b/>
          <w:bCs/>
          <w:sz w:val="20"/>
          <w:szCs w:val="20"/>
        </w:rPr>
        <w:t>2016 Region Senior Member Elevation Goals Update as of July 25, 2016</w:t>
      </w:r>
    </w:p>
    <w:tbl>
      <w:tblPr>
        <w:tblW w:w="4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1200"/>
        <w:gridCol w:w="1080"/>
        <w:gridCol w:w="1260"/>
      </w:tblGrid>
      <w:tr w:rsidR="00A5355C" w:rsidRPr="00A5355C" w:rsidTr="00263BC7">
        <w:tc>
          <w:tcPr>
            <w:tcW w:w="960" w:type="dxa"/>
            <w:vAlign w:val="center"/>
            <w:hideMark/>
          </w:tcPr>
          <w:p w:rsidR="00A5355C" w:rsidRPr="00A5355C" w:rsidRDefault="00A5355C" w:rsidP="00A5355C"/>
        </w:tc>
        <w:tc>
          <w:tcPr>
            <w:tcW w:w="1200" w:type="dxa"/>
            <w:vAlign w:val="center"/>
            <w:hideMark/>
          </w:tcPr>
          <w:p w:rsidR="00A5355C" w:rsidRPr="00A5355C" w:rsidRDefault="00A5355C" w:rsidP="00A5355C">
            <w:r w:rsidRPr="00A5355C">
              <w:rPr>
                <w:u w:val="single"/>
              </w:rPr>
              <w:t>YTD Total</w:t>
            </w:r>
          </w:p>
        </w:tc>
        <w:tc>
          <w:tcPr>
            <w:tcW w:w="1080" w:type="dxa"/>
            <w:vAlign w:val="center"/>
            <w:hideMark/>
          </w:tcPr>
          <w:p w:rsidR="00A5355C" w:rsidRPr="00A5355C" w:rsidRDefault="00A5355C" w:rsidP="00A5355C">
            <w:r w:rsidRPr="00A5355C">
              <w:rPr>
                <w:u w:val="single"/>
              </w:rPr>
              <w:t>Goal</w:t>
            </w:r>
          </w:p>
        </w:tc>
        <w:tc>
          <w:tcPr>
            <w:tcW w:w="1260" w:type="dxa"/>
            <w:vAlign w:val="center"/>
            <w:hideMark/>
          </w:tcPr>
          <w:p w:rsidR="00A5355C" w:rsidRPr="00A5355C" w:rsidRDefault="00A5355C" w:rsidP="00A5355C">
            <w:r w:rsidRPr="00A5355C">
              <w:rPr>
                <w:u w:val="single"/>
              </w:rPr>
              <w:t>% to Goal</w:t>
            </w:r>
          </w:p>
        </w:tc>
      </w:tr>
      <w:tr w:rsidR="00A5355C" w:rsidRPr="00A5355C" w:rsidTr="00263BC7">
        <w:tc>
          <w:tcPr>
            <w:tcW w:w="0" w:type="auto"/>
            <w:vAlign w:val="center"/>
            <w:hideMark/>
          </w:tcPr>
          <w:p w:rsidR="00A5355C" w:rsidRPr="00A5355C" w:rsidRDefault="00A5355C" w:rsidP="00A5355C">
            <w:r w:rsidRPr="00A5355C">
              <w:t>R1</w:t>
            </w:r>
          </w:p>
        </w:tc>
        <w:tc>
          <w:tcPr>
            <w:tcW w:w="1200" w:type="dxa"/>
            <w:vAlign w:val="bottom"/>
            <w:hideMark/>
          </w:tcPr>
          <w:p w:rsidR="00A5355C" w:rsidRPr="00A5355C" w:rsidRDefault="00A5355C" w:rsidP="00A5355C">
            <w:r w:rsidRPr="00A5355C">
              <w:t>110</w:t>
            </w:r>
          </w:p>
        </w:tc>
        <w:tc>
          <w:tcPr>
            <w:tcW w:w="1080" w:type="dxa"/>
            <w:vAlign w:val="bottom"/>
            <w:hideMark/>
          </w:tcPr>
          <w:p w:rsidR="00A5355C" w:rsidRPr="00A5355C" w:rsidRDefault="00A5355C" w:rsidP="00A5355C">
            <w:r w:rsidRPr="00A5355C">
              <w:t>195</w:t>
            </w:r>
          </w:p>
        </w:tc>
        <w:tc>
          <w:tcPr>
            <w:tcW w:w="1260" w:type="dxa"/>
            <w:vAlign w:val="bottom"/>
            <w:hideMark/>
          </w:tcPr>
          <w:p w:rsidR="00A5355C" w:rsidRPr="00A5355C" w:rsidRDefault="00A5355C" w:rsidP="00A5355C">
            <w:r w:rsidRPr="00A5355C">
              <w:t>56%</w:t>
            </w:r>
          </w:p>
        </w:tc>
      </w:tr>
      <w:tr w:rsidR="00A5355C" w:rsidRPr="00A5355C" w:rsidTr="00263BC7">
        <w:tc>
          <w:tcPr>
            <w:tcW w:w="0" w:type="auto"/>
            <w:vAlign w:val="center"/>
            <w:hideMark/>
          </w:tcPr>
          <w:p w:rsidR="00A5355C" w:rsidRPr="00A5355C" w:rsidRDefault="00A5355C" w:rsidP="00A5355C">
            <w:r w:rsidRPr="00A5355C">
              <w:t>R2</w:t>
            </w:r>
          </w:p>
        </w:tc>
        <w:tc>
          <w:tcPr>
            <w:tcW w:w="1200" w:type="dxa"/>
            <w:vAlign w:val="bottom"/>
            <w:hideMark/>
          </w:tcPr>
          <w:p w:rsidR="00A5355C" w:rsidRPr="00A5355C" w:rsidRDefault="00A5355C" w:rsidP="00A5355C">
            <w:r w:rsidRPr="00A5355C">
              <w:t>75</w:t>
            </w:r>
          </w:p>
        </w:tc>
        <w:tc>
          <w:tcPr>
            <w:tcW w:w="1080" w:type="dxa"/>
            <w:vAlign w:val="bottom"/>
            <w:hideMark/>
          </w:tcPr>
          <w:p w:rsidR="00A5355C" w:rsidRPr="00A5355C" w:rsidRDefault="00A5355C" w:rsidP="00A5355C">
            <w:r w:rsidRPr="00A5355C">
              <w:t>175</w:t>
            </w:r>
          </w:p>
        </w:tc>
        <w:tc>
          <w:tcPr>
            <w:tcW w:w="1260" w:type="dxa"/>
            <w:vAlign w:val="bottom"/>
            <w:hideMark/>
          </w:tcPr>
          <w:p w:rsidR="00A5355C" w:rsidRPr="00A5355C" w:rsidRDefault="00A5355C" w:rsidP="00A5355C">
            <w:r w:rsidRPr="00A5355C">
              <w:t>43%</w:t>
            </w:r>
          </w:p>
        </w:tc>
      </w:tr>
      <w:tr w:rsidR="00A5355C" w:rsidRPr="00A5355C" w:rsidTr="00263BC7">
        <w:tc>
          <w:tcPr>
            <w:tcW w:w="0" w:type="auto"/>
            <w:vAlign w:val="center"/>
            <w:hideMark/>
          </w:tcPr>
          <w:p w:rsidR="00A5355C" w:rsidRPr="00A5355C" w:rsidRDefault="00A5355C" w:rsidP="00A5355C">
            <w:r w:rsidRPr="00A5355C">
              <w:t>R3</w:t>
            </w:r>
          </w:p>
        </w:tc>
        <w:tc>
          <w:tcPr>
            <w:tcW w:w="1200" w:type="dxa"/>
            <w:vAlign w:val="bottom"/>
            <w:hideMark/>
          </w:tcPr>
          <w:p w:rsidR="00A5355C" w:rsidRPr="00A5355C" w:rsidRDefault="00A5355C" w:rsidP="00A5355C">
            <w:r w:rsidRPr="00A5355C">
              <w:t>119</w:t>
            </w:r>
          </w:p>
        </w:tc>
        <w:tc>
          <w:tcPr>
            <w:tcW w:w="1080" w:type="dxa"/>
            <w:vAlign w:val="bottom"/>
            <w:hideMark/>
          </w:tcPr>
          <w:p w:rsidR="00A5355C" w:rsidRPr="00A5355C" w:rsidRDefault="00A5355C" w:rsidP="00A5355C">
            <w:r w:rsidRPr="00A5355C">
              <w:t>250</w:t>
            </w:r>
          </w:p>
        </w:tc>
        <w:tc>
          <w:tcPr>
            <w:tcW w:w="1260" w:type="dxa"/>
            <w:vAlign w:val="bottom"/>
            <w:hideMark/>
          </w:tcPr>
          <w:p w:rsidR="00A5355C" w:rsidRPr="00A5355C" w:rsidRDefault="00A5355C" w:rsidP="00A5355C">
            <w:r w:rsidRPr="00A5355C">
              <w:t>48%</w:t>
            </w:r>
          </w:p>
        </w:tc>
      </w:tr>
      <w:tr w:rsidR="00A5355C" w:rsidRPr="00A5355C" w:rsidTr="00263BC7">
        <w:tc>
          <w:tcPr>
            <w:tcW w:w="0" w:type="auto"/>
            <w:vAlign w:val="center"/>
            <w:hideMark/>
          </w:tcPr>
          <w:p w:rsidR="00A5355C" w:rsidRPr="00A5355C" w:rsidRDefault="00A5355C" w:rsidP="00A5355C">
            <w:r w:rsidRPr="00A5355C">
              <w:t>R4</w:t>
            </w:r>
          </w:p>
        </w:tc>
        <w:tc>
          <w:tcPr>
            <w:tcW w:w="1200" w:type="dxa"/>
            <w:vAlign w:val="bottom"/>
            <w:hideMark/>
          </w:tcPr>
          <w:p w:rsidR="00A5355C" w:rsidRPr="00A5355C" w:rsidRDefault="00A5355C" w:rsidP="00A5355C">
            <w:r w:rsidRPr="00A5355C">
              <w:t>69</w:t>
            </w:r>
          </w:p>
        </w:tc>
        <w:tc>
          <w:tcPr>
            <w:tcW w:w="1080" w:type="dxa"/>
            <w:vAlign w:val="bottom"/>
            <w:hideMark/>
          </w:tcPr>
          <w:p w:rsidR="00A5355C" w:rsidRPr="00A5355C" w:rsidRDefault="00A5355C" w:rsidP="00A5355C">
            <w:r w:rsidRPr="00A5355C">
              <w:t>145</w:t>
            </w:r>
          </w:p>
        </w:tc>
        <w:tc>
          <w:tcPr>
            <w:tcW w:w="1260" w:type="dxa"/>
            <w:vAlign w:val="bottom"/>
            <w:hideMark/>
          </w:tcPr>
          <w:p w:rsidR="00A5355C" w:rsidRPr="00A5355C" w:rsidRDefault="00A5355C" w:rsidP="00A5355C">
            <w:r w:rsidRPr="00A5355C">
              <w:t>48%</w:t>
            </w:r>
          </w:p>
        </w:tc>
      </w:tr>
      <w:tr w:rsidR="00A5355C" w:rsidRPr="00A5355C" w:rsidTr="00263BC7">
        <w:tc>
          <w:tcPr>
            <w:tcW w:w="0" w:type="auto"/>
            <w:vAlign w:val="center"/>
            <w:hideMark/>
          </w:tcPr>
          <w:p w:rsidR="00A5355C" w:rsidRPr="00A5355C" w:rsidRDefault="00A5355C" w:rsidP="00A5355C">
            <w:r w:rsidRPr="00A5355C">
              <w:t>R5</w:t>
            </w:r>
          </w:p>
        </w:tc>
        <w:tc>
          <w:tcPr>
            <w:tcW w:w="1200" w:type="dxa"/>
            <w:vAlign w:val="bottom"/>
            <w:hideMark/>
          </w:tcPr>
          <w:p w:rsidR="00A5355C" w:rsidRPr="00A5355C" w:rsidRDefault="00A5355C" w:rsidP="00A5355C">
            <w:r w:rsidRPr="00A5355C">
              <w:t>92</w:t>
            </w:r>
          </w:p>
        </w:tc>
        <w:tc>
          <w:tcPr>
            <w:tcW w:w="1080" w:type="dxa"/>
            <w:vAlign w:val="bottom"/>
            <w:hideMark/>
          </w:tcPr>
          <w:p w:rsidR="00A5355C" w:rsidRPr="00A5355C" w:rsidRDefault="00A5355C" w:rsidP="00A5355C">
            <w:r w:rsidRPr="00A5355C">
              <w:t>175</w:t>
            </w:r>
          </w:p>
        </w:tc>
        <w:tc>
          <w:tcPr>
            <w:tcW w:w="1260" w:type="dxa"/>
            <w:vAlign w:val="bottom"/>
            <w:hideMark/>
          </w:tcPr>
          <w:p w:rsidR="00A5355C" w:rsidRPr="00A5355C" w:rsidRDefault="00A5355C" w:rsidP="00A5355C">
            <w:r w:rsidRPr="00A5355C">
              <w:t>53%</w:t>
            </w:r>
          </w:p>
        </w:tc>
      </w:tr>
      <w:tr w:rsidR="00A5355C" w:rsidRPr="00A5355C" w:rsidTr="00263BC7">
        <w:tc>
          <w:tcPr>
            <w:tcW w:w="0" w:type="auto"/>
            <w:vAlign w:val="center"/>
            <w:hideMark/>
          </w:tcPr>
          <w:p w:rsidR="00A5355C" w:rsidRPr="00A5355C" w:rsidRDefault="00A5355C" w:rsidP="00A5355C">
            <w:r w:rsidRPr="00A5355C">
              <w:t>R6</w:t>
            </w:r>
          </w:p>
        </w:tc>
        <w:tc>
          <w:tcPr>
            <w:tcW w:w="1200" w:type="dxa"/>
            <w:vAlign w:val="bottom"/>
            <w:hideMark/>
          </w:tcPr>
          <w:p w:rsidR="00A5355C" w:rsidRPr="00A5355C" w:rsidRDefault="00A5355C" w:rsidP="00A5355C">
            <w:r w:rsidRPr="00A5355C">
              <w:t>198</w:t>
            </w:r>
          </w:p>
        </w:tc>
        <w:tc>
          <w:tcPr>
            <w:tcW w:w="1080" w:type="dxa"/>
            <w:vAlign w:val="bottom"/>
            <w:hideMark/>
          </w:tcPr>
          <w:p w:rsidR="00A5355C" w:rsidRPr="00A5355C" w:rsidRDefault="00A5355C" w:rsidP="00A5355C">
            <w:r w:rsidRPr="00A5355C">
              <w:t>340</w:t>
            </w:r>
          </w:p>
        </w:tc>
        <w:tc>
          <w:tcPr>
            <w:tcW w:w="1260" w:type="dxa"/>
            <w:vAlign w:val="bottom"/>
            <w:hideMark/>
          </w:tcPr>
          <w:p w:rsidR="00A5355C" w:rsidRPr="00A5355C" w:rsidRDefault="00A5355C" w:rsidP="00A5355C">
            <w:r w:rsidRPr="00A5355C">
              <w:t>58%</w:t>
            </w:r>
          </w:p>
        </w:tc>
      </w:tr>
      <w:tr w:rsidR="00A5355C" w:rsidRPr="00A5355C" w:rsidTr="00263BC7">
        <w:tc>
          <w:tcPr>
            <w:tcW w:w="0" w:type="auto"/>
            <w:vAlign w:val="center"/>
            <w:hideMark/>
          </w:tcPr>
          <w:p w:rsidR="00A5355C" w:rsidRPr="00A5355C" w:rsidRDefault="00A5355C" w:rsidP="00A5355C">
            <w:r w:rsidRPr="00A5355C">
              <w:t>R7</w:t>
            </w:r>
          </w:p>
        </w:tc>
        <w:tc>
          <w:tcPr>
            <w:tcW w:w="1200" w:type="dxa"/>
            <w:vAlign w:val="bottom"/>
            <w:hideMark/>
          </w:tcPr>
          <w:p w:rsidR="00A5355C" w:rsidRPr="00A5355C" w:rsidRDefault="00A5355C" w:rsidP="00A5355C">
            <w:r w:rsidRPr="00A5355C">
              <w:t>76</w:t>
            </w:r>
          </w:p>
        </w:tc>
        <w:tc>
          <w:tcPr>
            <w:tcW w:w="1080" w:type="dxa"/>
            <w:vAlign w:val="bottom"/>
            <w:hideMark/>
          </w:tcPr>
          <w:p w:rsidR="00A5355C" w:rsidRPr="00A5355C" w:rsidRDefault="00A5355C" w:rsidP="00A5355C">
            <w:r w:rsidRPr="00A5355C">
              <w:t>105</w:t>
            </w:r>
          </w:p>
        </w:tc>
        <w:tc>
          <w:tcPr>
            <w:tcW w:w="1260" w:type="dxa"/>
            <w:vAlign w:val="bottom"/>
            <w:hideMark/>
          </w:tcPr>
          <w:p w:rsidR="00A5355C" w:rsidRPr="00A5355C" w:rsidRDefault="00A5355C" w:rsidP="00A5355C">
            <w:r w:rsidRPr="00A5355C">
              <w:t>72%</w:t>
            </w:r>
          </w:p>
        </w:tc>
      </w:tr>
      <w:tr w:rsidR="00A5355C" w:rsidRPr="00A5355C" w:rsidTr="00263BC7">
        <w:tc>
          <w:tcPr>
            <w:tcW w:w="0" w:type="auto"/>
            <w:vAlign w:val="center"/>
            <w:hideMark/>
          </w:tcPr>
          <w:p w:rsidR="00A5355C" w:rsidRPr="00A5355C" w:rsidRDefault="00A5355C" w:rsidP="00A5355C">
            <w:r w:rsidRPr="00A5355C">
              <w:t>R8</w:t>
            </w:r>
          </w:p>
        </w:tc>
        <w:tc>
          <w:tcPr>
            <w:tcW w:w="1200" w:type="dxa"/>
            <w:vAlign w:val="bottom"/>
            <w:hideMark/>
          </w:tcPr>
          <w:p w:rsidR="00A5355C" w:rsidRPr="00A5355C" w:rsidRDefault="00A5355C" w:rsidP="00A5355C">
            <w:r w:rsidRPr="00A5355C">
              <w:t>462</w:t>
            </w:r>
          </w:p>
        </w:tc>
        <w:tc>
          <w:tcPr>
            <w:tcW w:w="1080" w:type="dxa"/>
            <w:vAlign w:val="bottom"/>
            <w:hideMark/>
          </w:tcPr>
          <w:p w:rsidR="00A5355C" w:rsidRPr="00A5355C" w:rsidRDefault="00A5355C" w:rsidP="00A5355C">
            <w:r w:rsidRPr="00A5355C">
              <w:t>715</w:t>
            </w:r>
          </w:p>
        </w:tc>
        <w:tc>
          <w:tcPr>
            <w:tcW w:w="1260" w:type="dxa"/>
            <w:vAlign w:val="bottom"/>
            <w:hideMark/>
          </w:tcPr>
          <w:p w:rsidR="00A5355C" w:rsidRPr="00A5355C" w:rsidRDefault="00A5355C" w:rsidP="00A5355C">
            <w:r w:rsidRPr="00A5355C">
              <w:t>65%</w:t>
            </w:r>
          </w:p>
        </w:tc>
      </w:tr>
      <w:tr w:rsidR="00A5355C" w:rsidRPr="00A5355C" w:rsidTr="00263BC7">
        <w:tc>
          <w:tcPr>
            <w:tcW w:w="0" w:type="auto"/>
            <w:vAlign w:val="center"/>
            <w:hideMark/>
          </w:tcPr>
          <w:p w:rsidR="00A5355C" w:rsidRPr="00A5355C" w:rsidRDefault="00A5355C" w:rsidP="00A5355C">
            <w:r w:rsidRPr="00A5355C">
              <w:t>R9</w:t>
            </w:r>
          </w:p>
        </w:tc>
        <w:tc>
          <w:tcPr>
            <w:tcW w:w="1200" w:type="dxa"/>
            <w:vAlign w:val="bottom"/>
            <w:hideMark/>
          </w:tcPr>
          <w:p w:rsidR="00A5355C" w:rsidRPr="00A5355C" w:rsidRDefault="00A5355C" w:rsidP="00A5355C">
            <w:r w:rsidRPr="00A5355C">
              <w:t>45</w:t>
            </w:r>
          </w:p>
        </w:tc>
        <w:tc>
          <w:tcPr>
            <w:tcW w:w="1080" w:type="dxa"/>
            <w:vAlign w:val="bottom"/>
            <w:hideMark/>
          </w:tcPr>
          <w:p w:rsidR="00A5355C" w:rsidRPr="00A5355C" w:rsidRDefault="00A5355C" w:rsidP="00A5355C">
            <w:r w:rsidRPr="00A5355C">
              <w:t>90</w:t>
            </w:r>
          </w:p>
        </w:tc>
        <w:tc>
          <w:tcPr>
            <w:tcW w:w="1260" w:type="dxa"/>
            <w:vAlign w:val="bottom"/>
            <w:hideMark/>
          </w:tcPr>
          <w:p w:rsidR="00A5355C" w:rsidRPr="00A5355C" w:rsidRDefault="00A5355C" w:rsidP="00A5355C">
            <w:r w:rsidRPr="00A5355C">
              <w:t>50%</w:t>
            </w:r>
          </w:p>
        </w:tc>
      </w:tr>
      <w:tr w:rsidR="00A5355C" w:rsidRPr="00A5355C" w:rsidTr="00263BC7">
        <w:tc>
          <w:tcPr>
            <w:tcW w:w="0" w:type="auto"/>
            <w:vAlign w:val="center"/>
            <w:hideMark/>
          </w:tcPr>
          <w:p w:rsidR="00A5355C" w:rsidRPr="00A5355C" w:rsidRDefault="00A5355C" w:rsidP="00A5355C">
            <w:r w:rsidRPr="00A5355C">
              <w:t>R10</w:t>
            </w:r>
          </w:p>
        </w:tc>
        <w:tc>
          <w:tcPr>
            <w:tcW w:w="1200" w:type="dxa"/>
            <w:vAlign w:val="bottom"/>
            <w:hideMark/>
          </w:tcPr>
          <w:p w:rsidR="00A5355C" w:rsidRPr="00A5355C" w:rsidRDefault="00A5355C" w:rsidP="00A5355C">
            <w:r w:rsidRPr="00A5355C">
              <w:t>819</w:t>
            </w:r>
          </w:p>
        </w:tc>
        <w:tc>
          <w:tcPr>
            <w:tcW w:w="1080" w:type="dxa"/>
            <w:vAlign w:val="bottom"/>
            <w:hideMark/>
          </w:tcPr>
          <w:p w:rsidR="00A5355C" w:rsidRPr="00A5355C" w:rsidRDefault="00A5355C" w:rsidP="00A5355C">
            <w:r w:rsidRPr="00A5355C">
              <w:t>740</w:t>
            </w:r>
          </w:p>
        </w:tc>
        <w:tc>
          <w:tcPr>
            <w:tcW w:w="1260" w:type="dxa"/>
            <w:vAlign w:val="bottom"/>
            <w:hideMark/>
          </w:tcPr>
          <w:p w:rsidR="00A5355C" w:rsidRPr="00A5355C" w:rsidRDefault="00A5355C" w:rsidP="00A5355C">
            <w:r w:rsidRPr="00A5355C">
              <w:t>111%</w:t>
            </w:r>
          </w:p>
        </w:tc>
      </w:tr>
      <w:tr w:rsidR="00A5355C" w:rsidRPr="00A5355C" w:rsidTr="00263BC7">
        <w:tc>
          <w:tcPr>
            <w:tcW w:w="0" w:type="auto"/>
            <w:vAlign w:val="center"/>
            <w:hideMark/>
          </w:tcPr>
          <w:p w:rsidR="00A5355C" w:rsidRPr="00A5355C" w:rsidRDefault="00A5355C" w:rsidP="00A5355C">
            <w:r w:rsidRPr="00A5355C">
              <w:rPr>
                <w:b/>
                <w:bCs/>
              </w:rPr>
              <w:t>Totals</w:t>
            </w:r>
          </w:p>
        </w:tc>
        <w:tc>
          <w:tcPr>
            <w:tcW w:w="1200" w:type="dxa"/>
            <w:vAlign w:val="bottom"/>
            <w:hideMark/>
          </w:tcPr>
          <w:p w:rsidR="00A5355C" w:rsidRPr="00A5355C" w:rsidRDefault="00A5355C" w:rsidP="00A5355C">
            <w:r w:rsidRPr="00A5355C">
              <w:t>2,065</w:t>
            </w:r>
          </w:p>
        </w:tc>
        <w:tc>
          <w:tcPr>
            <w:tcW w:w="1080" w:type="dxa"/>
            <w:vAlign w:val="bottom"/>
            <w:hideMark/>
          </w:tcPr>
          <w:p w:rsidR="00A5355C" w:rsidRPr="00A5355C" w:rsidRDefault="00A5355C" w:rsidP="00A5355C">
            <w:r w:rsidRPr="00A5355C">
              <w:t>2,930</w:t>
            </w:r>
          </w:p>
        </w:tc>
        <w:tc>
          <w:tcPr>
            <w:tcW w:w="1260" w:type="dxa"/>
            <w:vAlign w:val="bottom"/>
            <w:hideMark/>
          </w:tcPr>
          <w:p w:rsidR="00A5355C" w:rsidRPr="00A5355C" w:rsidRDefault="00A5355C" w:rsidP="00A5355C">
            <w:r w:rsidRPr="00A5355C">
              <w:t>70%</w:t>
            </w:r>
          </w:p>
        </w:tc>
      </w:tr>
    </w:tbl>
    <w:p w:rsidR="00A5355C" w:rsidRDefault="00F042B2" w:rsidP="00A5355C">
      <w:r>
        <w:t>Respectfully Submitted</w:t>
      </w:r>
    </w:p>
    <w:p w:rsidR="00F042B2" w:rsidRDefault="00F042B2" w:rsidP="00A5355C">
      <w:r>
        <w:t>Sandy (Santo) Mazzola</w:t>
      </w:r>
    </w:p>
    <w:p w:rsidR="00F042B2" w:rsidRDefault="00F042B2" w:rsidP="00A5355C">
      <w:r>
        <w:t>R1 Admissions &amp; Advancement Chair</w:t>
      </w:r>
    </w:p>
    <w:sectPr w:rsidR="00F042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55C"/>
    <w:rsid w:val="00294780"/>
    <w:rsid w:val="005D4026"/>
    <w:rsid w:val="009362FD"/>
    <w:rsid w:val="00A5355C"/>
    <w:rsid w:val="00B51C89"/>
    <w:rsid w:val="00BF6B25"/>
    <w:rsid w:val="00F04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35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35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8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zzolas@iee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BAE Systems</Company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Mazzola, Santo (US SSA)</dc:creator>
  <cp:lastModifiedBy>William Carakatsane</cp:lastModifiedBy>
  <cp:revision>2</cp:revision>
  <dcterms:created xsi:type="dcterms:W3CDTF">2016-07-28T14:54:00Z</dcterms:created>
  <dcterms:modified xsi:type="dcterms:W3CDTF">2016-07-28T14:54:00Z</dcterms:modified>
</cp:coreProperties>
</file>