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D7C09" w14:textId="5EE45CBF" w:rsidR="00DB7207" w:rsidRDefault="00B76EC4" w:rsidP="001E143F">
      <w:pPr>
        <w:overflowPunct w:val="0"/>
        <w:autoSpaceDE w:val="0"/>
        <w:autoSpaceDN w:val="0"/>
        <w:spacing w:before="53"/>
        <w:ind w:right="1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Pr="001E143F">
        <w:rPr>
          <w:rFonts w:ascii="Arial" w:hAnsi="Arial" w:cs="Arial"/>
          <w:i/>
          <w:iCs/>
        </w:rPr>
        <w:t>ad hoc</w:t>
      </w:r>
      <w:r>
        <w:rPr>
          <w:rFonts w:ascii="Arial" w:hAnsi="Arial" w:cs="Arial"/>
        </w:rPr>
        <w:t xml:space="preserve"> committee appointed by Director Beheshti comprised of </w:t>
      </w:r>
      <w:r w:rsidR="001E143F">
        <w:rPr>
          <w:rFonts w:ascii="Arial" w:hAnsi="Arial" w:cs="Arial"/>
        </w:rPr>
        <w:t xml:space="preserve">past-directors </w:t>
      </w:r>
      <w:r>
        <w:rPr>
          <w:rFonts w:ascii="Arial" w:hAnsi="Arial" w:cs="Arial"/>
        </w:rPr>
        <w:t>Charles Rubenstein</w:t>
      </w:r>
      <w:r w:rsidR="001E143F">
        <w:rPr>
          <w:rFonts w:ascii="Arial" w:hAnsi="Arial" w:cs="Arial"/>
        </w:rPr>
        <w:t xml:space="preserve"> - Chair</w:t>
      </w:r>
      <w:r>
        <w:rPr>
          <w:rFonts w:ascii="Arial" w:hAnsi="Arial" w:cs="Arial"/>
        </w:rPr>
        <w:t>, Peter Eckstein, Lou Luceri</w:t>
      </w:r>
      <w:r w:rsidR="00BB1778">
        <w:rPr>
          <w:rFonts w:ascii="Arial" w:hAnsi="Arial" w:cs="Arial"/>
        </w:rPr>
        <w:t>, and Vince Socci</w:t>
      </w:r>
      <w:r>
        <w:rPr>
          <w:rFonts w:ascii="Arial" w:hAnsi="Arial" w:cs="Arial"/>
        </w:rPr>
        <w:t xml:space="preserve"> </w:t>
      </w:r>
      <w:r w:rsidR="001E143F">
        <w:rPr>
          <w:rFonts w:ascii="Arial" w:hAnsi="Arial" w:cs="Arial"/>
        </w:rPr>
        <w:t>presented to the Region 1 ExCom</w:t>
      </w:r>
      <w:r>
        <w:rPr>
          <w:rFonts w:ascii="Arial" w:hAnsi="Arial" w:cs="Arial"/>
        </w:rPr>
        <w:t xml:space="preserve"> </w:t>
      </w:r>
      <w:r w:rsidR="001E143F">
        <w:rPr>
          <w:rFonts w:ascii="Arial" w:hAnsi="Arial" w:cs="Arial"/>
        </w:rPr>
        <w:t>at their meeting in March 2018</w:t>
      </w:r>
      <w:r w:rsidR="001E143F">
        <w:rPr>
          <w:rFonts w:ascii="Arial" w:hAnsi="Arial" w:cs="Arial"/>
        </w:rPr>
        <w:t xml:space="preserve"> a recommendation</w:t>
      </w:r>
      <w:r w:rsidR="001E14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</w:t>
      </w:r>
      <w:r w:rsidR="00DB72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Region B</w:t>
      </w:r>
      <w:r w:rsidR="00DB7207">
        <w:rPr>
          <w:rFonts w:ascii="Arial" w:hAnsi="Arial" w:cs="Arial"/>
        </w:rPr>
        <w:t>ylaw 5.2.2</w:t>
      </w:r>
      <w:r>
        <w:rPr>
          <w:rFonts w:ascii="Arial" w:hAnsi="Arial" w:cs="Arial"/>
        </w:rPr>
        <w:t xml:space="preserve"> </w:t>
      </w:r>
      <w:r w:rsidRPr="00B76EC4">
        <w:rPr>
          <w:rFonts w:ascii="Arial" w:hAnsi="Arial" w:cs="Arial"/>
        </w:rPr>
        <w:t xml:space="preserve">Election/Appointment Process </w:t>
      </w:r>
      <w:r>
        <w:rPr>
          <w:rFonts w:ascii="Arial" w:hAnsi="Arial" w:cs="Arial"/>
        </w:rPr>
        <w:t xml:space="preserve">be </w:t>
      </w:r>
      <w:r w:rsidR="00E5614E">
        <w:rPr>
          <w:rFonts w:ascii="Arial" w:hAnsi="Arial" w:cs="Arial"/>
        </w:rPr>
        <w:t>revis</w:t>
      </w:r>
      <w:r w:rsidR="00083CCC">
        <w:rPr>
          <w:rFonts w:ascii="Arial" w:hAnsi="Arial" w:cs="Arial"/>
        </w:rPr>
        <w:t xml:space="preserve">ed to the original intent of the </w:t>
      </w:r>
      <w:r w:rsidR="001E143F">
        <w:rPr>
          <w:rFonts w:ascii="Arial" w:hAnsi="Arial" w:cs="Arial"/>
        </w:rPr>
        <w:t xml:space="preserve">MGA </w:t>
      </w:r>
      <w:r w:rsidR="00E5614E">
        <w:rPr>
          <w:rFonts w:ascii="Arial" w:hAnsi="Arial" w:cs="Arial"/>
        </w:rPr>
        <w:t>A</w:t>
      </w:r>
      <w:r w:rsidR="00083CCC">
        <w:rPr>
          <w:rFonts w:ascii="Arial" w:hAnsi="Arial" w:cs="Arial"/>
        </w:rPr>
        <w:t xml:space="preserve">rea Chair selection process being that of </w:t>
      </w:r>
      <w:r w:rsidR="00E5614E">
        <w:rPr>
          <w:rFonts w:ascii="Arial" w:hAnsi="Arial" w:cs="Arial"/>
        </w:rPr>
        <w:t>appointment by the</w:t>
      </w:r>
      <w:r w:rsidR="00083CCC">
        <w:rPr>
          <w:rFonts w:ascii="Arial" w:hAnsi="Arial" w:cs="Arial"/>
        </w:rPr>
        <w:t xml:space="preserve"> Director</w:t>
      </w:r>
      <w:r w:rsidR="00E5614E">
        <w:rPr>
          <w:rFonts w:ascii="Arial" w:hAnsi="Arial" w:cs="Arial"/>
        </w:rPr>
        <w:t>-Elect</w:t>
      </w:r>
      <w:r w:rsidR="00083CCC">
        <w:rPr>
          <w:rFonts w:ascii="Arial" w:hAnsi="Arial" w:cs="Arial"/>
        </w:rPr>
        <w:t xml:space="preserve"> </w:t>
      </w:r>
      <w:r w:rsidR="00071536">
        <w:rPr>
          <w:rFonts w:ascii="Arial" w:hAnsi="Arial" w:cs="Arial"/>
        </w:rPr>
        <w:t>as it is practiced in other IEEE Regions</w:t>
      </w:r>
      <w:r w:rsidR="005E19A8">
        <w:rPr>
          <w:rFonts w:ascii="Arial" w:hAnsi="Arial" w:cs="Arial"/>
        </w:rPr>
        <w:t xml:space="preserve">. </w:t>
      </w:r>
      <w:r w:rsidR="001E143F">
        <w:rPr>
          <w:rFonts w:ascii="Arial" w:hAnsi="Arial" w:cs="Arial"/>
        </w:rPr>
        <w:t>The following revision to Region 1 Bylaw 5.2.2 was APPROVED by the Region 1 Board of Governors on Saturday 11 August 2018 and will be submitted to MGA as a consent agenda item at the next MGA meeting.</w:t>
      </w:r>
    </w:p>
    <w:p w14:paraId="70344C46" w14:textId="3CB810C5" w:rsidR="00E5614E" w:rsidRDefault="00E5614E" w:rsidP="00E5614E">
      <w:pPr>
        <w:spacing w:before="100" w:beforeAutospacing="1" w:after="100" w:afterAutospacing="1"/>
      </w:pPr>
      <w:r>
        <w:t>BACKGROUND:</w:t>
      </w:r>
    </w:p>
    <w:p w14:paraId="42AE5C09" w14:textId="6F7E2310" w:rsidR="00255F01" w:rsidRDefault="00E5614E" w:rsidP="00347C55">
      <w:pPr>
        <w:spacing w:before="100" w:beforeAutospacing="1" w:after="100" w:afterAutospacing="1"/>
      </w:pPr>
      <w:r>
        <w:t>The Area Chairs act as the Director’s representative in their respective geographical areas yet they</w:t>
      </w:r>
      <w:r w:rsidR="00347C55">
        <w:t>, from time to time they</w:t>
      </w:r>
      <w:r>
        <w:t xml:space="preserve"> have not necessarily been the best candidates with respect to experience and capabilities. </w:t>
      </w:r>
      <w:r w:rsidR="00347C55">
        <w:t xml:space="preserve">Per </w:t>
      </w:r>
      <w:r w:rsidR="00255F01">
        <w:t xml:space="preserve">the </w:t>
      </w:r>
      <w:r>
        <w:t>MGA Ops Manual in Section 9.2</w:t>
      </w:r>
      <w:r w:rsidR="00255F01">
        <w:t xml:space="preserve"> (18 November 2017</w:t>
      </w:r>
      <w:r w:rsidR="00347C55">
        <w:t>):</w:t>
      </w:r>
    </w:p>
    <w:p w14:paraId="283563FB" w14:textId="77777777" w:rsidR="00E3382F" w:rsidRDefault="00E3382F" w:rsidP="00E338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9.2 A</w:t>
      </w:r>
      <w:r>
        <w:rPr>
          <w:b/>
          <w:bCs/>
          <w:sz w:val="19"/>
          <w:szCs w:val="19"/>
        </w:rPr>
        <w:t xml:space="preserve">REAS </w:t>
      </w:r>
      <w:r>
        <w:rPr>
          <w:b/>
          <w:bCs/>
          <w:sz w:val="23"/>
          <w:szCs w:val="23"/>
        </w:rPr>
        <w:t xml:space="preserve">____________________________________________________________ </w:t>
      </w:r>
    </w:p>
    <w:p w14:paraId="23495DC4" w14:textId="77777777" w:rsidR="00E3382F" w:rsidRDefault="00E3382F" w:rsidP="00E338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A. Definition </w:t>
      </w:r>
    </w:p>
    <w:p w14:paraId="509EE9EA" w14:textId="77777777" w:rsidR="00E3382F" w:rsidRDefault="00E3382F" w:rsidP="00E338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An Area is a part of a Region, consisting of several Sections, states, provinces, or countries which may be established by the Region Committee as a management and administrative organizational unit of IEEE to fulfill the communication needs and management/administrative missions of the Region within the territory prescribed. </w:t>
      </w:r>
    </w:p>
    <w:p w14:paraId="7B809B4F" w14:textId="77777777" w:rsidR="00E3382F" w:rsidRDefault="00E3382F" w:rsidP="00E338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The Regional Director may appoint Area Chairs to serve a one- or two-year term during the incumbency of the Director. </w:t>
      </w:r>
    </w:p>
    <w:p w14:paraId="0FD315B8" w14:textId="77777777" w:rsidR="00E3382F" w:rsidRDefault="00E3382F" w:rsidP="00E338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The Area Chair acts on behalf of and at the direction of the Regional Director on specific assignments related to the management and administration of the Region. </w:t>
      </w:r>
    </w:p>
    <w:p w14:paraId="4099C0DD" w14:textId="3B2267E7" w:rsidR="00347C55" w:rsidRDefault="00E3382F" w:rsidP="00347C55">
      <w:pPr>
        <w:pStyle w:val="Default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3. The Area Chair(s) may serve on the Region Committee with the approval of the Region Committee. </w:t>
      </w:r>
    </w:p>
    <w:p w14:paraId="5159E302" w14:textId="77777777" w:rsidR="00347C55" w:rsidRDefault="00347C55" w:rsidP="00347C55">
      <w:pPr>
        <w:overflowPunct w:val="0"/>
        <w:autoSpaceDE w:val="0"/>
        <w:autoSpaceDN w:val="0"/>
        <w:spacing w:before="53"/>
        <w:ind w:right="117"/>
        <w:jc w:val="both"/>
        <w:rPr>
          <w:rFonts w:ascii="Arial" w:hAnsi="Arial" w:cs="Arial"/>
        </w:rPr>
      </w:pPr>
    </w:p>
    <w:p w14:paraId="63E91777" w14:textId="4BDB27A5" w:rsidR="00347C55" w:rsidRPr="00347C55" w:rsidRDefault="00347C55" w:rsidP="00347C55">
      <w:pPr>
        <w:overflowPunct w:val="0"/>
        <w:autoSpaceDE w:val="0"/>
        <w:autoSpaceDN w:val="0"/>
        <w:spacing w:before="53"/>
        <w:ind w:right="117"/>
        <w:jc w:val="both"/>
        <w:rPr>
          <w:rFonts w:ascii="Arial" w:hAnsi="Arial" w:cs="Arial"/>
          <w:b/>
          <w:bCs/>
        </w:rPr>
      </w:pPr>
      <w:r w:rsidRPr="00347C55">
        <w:rPr>
          <w:rFonts w:ascii="Arial" w:hAnsi="Arial" w:cs="Arial"/>
          <w:b/>
          <w:bCs/>
        </w:rPr>
        <w:t xml:space="preserve">REGION 1 </w:t>
      </w:r>
      <w:r>
        <w:rPr>
          <w:rFonts w:ascii="Arial" w:hAnsi="Arial" w:cs="Arial"/>
          <w:b/>
          <w:bCs/>
        </w:rPr>
        <w:t xml:space="preserve"> </w:t>
      </w:r>
      <w:r w:rsidRPr="00347C55">
        <w:rPr>
          <w:rFonts w:ascii="Arial" w:hAnsi="Arial" w:cs="Arial"/>
          <w:b/>
          <w:bCs/>
        </w:rPr>
        <w:t>APPROVED REVISED Bylaw 5.2.2 Election/Appointment Process</w:t>
      </w:r>
      <w:r>
        <w:rPr>
          <w:rFonts w:ascii="Arial" w:hAnsi="Arial" w:cs="Arial"/>
          <w:b/>
          <w:bCs/>
        </w:rPr>
        <w:t>:</w:t>
      </w:r>
      <w:r w:rsidRPr="00347C55">
        <w:rPr>
          <w:rFonts w:ascii="Arial" w:hAnsi="Arial" w:cs="Arial"/>
          <w:b/>
          <w:bCs/>
        </w:rPr>
        <w:t xml:space="preserve"> </w:t>
      </w:r>
    </w:p>
    <w:p w14:paraId="304D28C1" w14:textId="77777777" w:rsidR="00347C55" w:rsidRDefault="00347C55" w:rsidP="00347C55">
      <w:pPr>
        <w:overflowPunct w:val="0"/>
        <w:autoSpaceDE w:val="0"/>
        <w:autoSpaceDN w:val="0"/>
        <w:spacing w:before="53"/>
        <w:ind w:left="40" w:right="117"/>
        <w:jc w:val="both"/>
        <w:rPr>
          <w:rFonts w:ascii="Arial" w:hAnsi="Arial" w:cs="Arial"/>
          <w:color w:val="2E75B6"/>
        </w:rPr>
      </w:pPr>
      <w:r>
        <w:rPr>
          <w:rFonts w:ascii="Arial" w:hAnsi="Arial" w:cs="Arial"/>
          <w:color w:val="2E75B6"/>
        </w:rPr>
        <w:t>“</w:t>
      </w:r>
      <w:r>
        <w:rPr>
          <w:rFonts w:ascii="Arial" w:hAnsi="Arial" w:cs="Arial"/>
          <w:color w:val="2E75B6"/>
        </w:rPr>
        <w:t>5.2.2 Election/Appointment Process:</w:t>
      </w:r>
    </w:p>
    <w:p w14:paraId="75E928D7" w14:textId="24AD0164" w:rsidR="00347C55" w:rsidRDefault="00347C55" w:rsidP="00347C55">
      <w:pPr>
        <w:overflowPunct w:val="0"/>
        <w:autoSpaceDE w:val="0"/>
        <w:autoSpaceDN w:val="0"/>
        <w:spacing w:before="53"/>
        <w:ind w:left="40" w:right="117"/>
        <w:jc w:val="both"/>
        <w:rPr>
          <w:rFonts w:ascii="Arial" w:hAnsi="Arial" w:cs="Arial"/>
          <w:color w:val="2E75B6"/>
        </w:rPr>
      </w:pPr>
      <w:r w:rsidRPr="00083CCC">
        <w:rPr>
          <w:rFonts w:ascii="Arial" w:hAnsi="Arial" w:cs="Arial"/>
          <w:color w:val="2E75B6"/>
        </w:rPr>
        <w:t>An Area Chair represents the Region in each Area. It is permissible to substitute a Council Chair</w:t>
      </w:r>
      <w:r>
        <w:rPr>
          <w:rFonts w:ascii="Arial" w:hAnsi="Arial" w:cs="Arial"/>
          <w:color w:val="2E75B6"/>
        </w:rPr>
        <w:t xml:space="preserve"> </w:t>
      </w:r>
      <w:r w:rsidRPr="00083CCC">
        <w:rPr>
          <w:rFonts w:ascii="Arial" w:hAnsi="Arial" w:cs="Arial"/>
          <w:color w:val="2E75B6"/>
        </w:rPr>
        <w:t>in the event the Council boundaries encompass the geographic Area. There can be one or more</w:t>
      </w:r>
      <w:r>
        <w:rPr>
          <w:rFonts w:ascii="Arial" w:hAnsi="Arial" w:cs="Arial"/>
          <w:color w:val="2E75B6"/>
        </w:rPr>
        <w:t xml:space="preserve"> </w:t>
      </w:r>
      <w:r w:rsidRPr="00083CCC">
        <w:rPr>
          <w:rFonts w:ascii="Arial" w:hAnsi="Arial" w:cs="Arial"/>
          <w:color w:val="2E75B6"/>
        </w:rPr>
        <w:t xml:space="preserve">Councils in an Area. </w:t>
      </w:r>
      <w:r>
        <w:rPr>
          <w:rFonts w:ascii="Arial" w:hAnsi="Arial" w:cs="Arial"/>
          <w:color w:val="2E75B6"/>
        </w:rPr>
        <w:t xml:space="preserve">Upon request of the Region 1 Director-Elect, the Region 1 N&amp;A Committee, shall present a slate of at least two, and not more than three, candidates for each Area Chair position to the Region 1 Director-Elect by August 31 of an odd numbered year. Consideration should be given to candidates within the Area. </w:t>
      </w:r>
    </w:p>
    <w:p w14:paraId="0CD0C927" w14:textId="77777777" w:rsidR="00347C55" w:rsidRDefault="00347C55" w:rsidP="00347C55">
      <w:pPr>
        <w:overflowPunct w:val="0"/>
        <w:autoSpaceDE w:val="0"/>
        <w:autoSpaceDN w:val="0"/>
        <w:spacing w:before="53"/>
        <w:ind w:left="40" w:right="117"/>
        <w:jc w:val="both"/>
        <w:rPr>
          <w:rFonts w:ascii="Arial" w:hAnsi="Arial" w:cs="Arial"/>
          <w:color w:val="2E75B6"/>
        </w:rPr>
      </w:pPr>
    </w:p>
    <w:p w14:paraId="40C19930" w14:textId="77777777" w:rsidR="00347C55" w:rsidRDefault="00347C55" w:rsidP="00347C55">
      <w:pPr>
        <w:overflowPunct w:val="0"/>
        <w:autoSpaceDE w:val="0"/>
        <w:autoSpaceDN w:val="0"/>
        <w:spacing w:before="53"/>
        <w:ind w:left="40" w:right="117"/>
        <w:jc w:val="both"/>
        <w:rPr>
          <w:rFonts w:ascii="Arial" w:hAnsi="Arial" w:cs="Arial"/>
          <w:color w:val="2E75B6"/>
        </w:rPr>
      </w:pPr>
      <w:r>
        <w:rPr>
          <w:rFonts w:ascii="Arial" w:hAnsi="Arial" w:cs="Arial"/>
          <w:color w:val="2E75B6"/>
        </w:rPr>
        <w:t>With or without such advice, the</w:t>
      </w:r>
      <w:r w:rsidRPr="00083CCC">
        <w:rPr>
          <w:rFonts w:ascii="Arial" w:hAnsi="Arial" w:cs="Arial"/>
          <w:color w:val="2E75B6"/>
        </w:rPr>
        <w:t xml:space="preserve"> Region </w:t>
      </w:r>
      <w:r>
        <w:rPr>
          <w:rFonts w:ascii="Arial" w:hAnsi="Arial" w:cs="Arial"/>
          <w:color w:val="2E75B6"/>
        </w:rPr>
        <w:t xml:space="preserve">1 </w:t>
      </w:r>
      <w:r w:rsidRPr="00083CCC">
        <w:rPr>
          <w:rFonts w:ascii="Arial" w:hAnsi="Arial" w:cs="Arial"/>
          <w:color w:val="2E75B6"/>
        </w:rPr>
        <w:t>Director</w:t>
      </w:r>
      <w:r>
        <w:rPr>
          <w:rFonts w:ascii="Arial" w:hAnsi="Arial" w:cs="Arial"/>
          <w:color w:val="2E75B6"/>
        </w:rPr>
        <w:t>-Elect</w:t>
      </w:r>
      <w:r w:rsidRPr="00083CCC">
        <w:rPr>
          <w:rFonts w:ascii="Arial" w:hAnsi="Arial" w:cs="Arial"/>
          <w:color w:val="2E75B6"/>
        </w:rPr>
        <w:t xml:space="preserve"> </w:t>
      </w:r>
      <w:r>
        <w:rPr>
          <w:rFonts w:ascii="Arial" w:hAnsi="Arial" w:cs="Arial"/>
          <w:color w:val="2E75B6"/>
        </w:rPr>
        <w:t xml:space="preserve">shall, no later than October 31 of that odd numbered year, appoint the respective </w:t>
      </w:r>
      <w:r w:rsidRPr="00083CCC">
        <w:rPr>
          <w:rFonts w:ascii="Arial" w:hAnsi="Arial" w:cs="Arial"/>
          <w:color w:val="2E75B6"/>
        </w:rPr>
        <w:t>Area Chairs for a two</w:t>
      </w:r>
      <w:r>
        <w:rPr>
          <w:rFonts w:ascii="Arial" w:hAnsi="Arial" w:cs="Arial"/>
          <w:color w:val="2E75B6"/>
        </w:rPr>
        <w:t>-</w:t>
      </w:r>
      <w:r w:rsidRPr="00083CCC">
        <w:rPr>
          <w:rFonts w:ascii="Arial" w:hAnsi="Arial" w:cs="Arial"/>
          <w:color w:val="2E75B6"/>
        </w:rPr>
        <w:t>year term</w:t>
      </w:r>
      <w:r>
        <w:rPr>
          <w:rFonts w:ascii="Arial" w:hAnsi="Arial" w:cs="Arial"/>
          <w:color w:val="2E75B6"/>
        </w:rPr>
        <w:t xml:space="preserve"> coinciding with his/her term of office</w:t>
      </w:r>
      <w:r w:rsidRPr="00083CCC">
        <w:rPr>
          <w:rFonts w:ascii="Arial" w:hAnsi="Arial" w:cs="Arial"/>
          <w:color w:val="2E75B6"/>
        </w:rPr>
        <w:t xml:space="preserve"> in accordance with MGA Operations Manual, Section 9.2.A.1.</w:t>
      </w:r>
      <w:r>
        <w:rPr>
          <w:rFonts w:ascii="Arial" w:hAnsi="Arial" w:cs="Arial"/>
          <w:color w:val="2E75B6"/>
        </w:rPr>
        <w:t xml:space="preserve"> </w:t>
      </w:r>
    </w:p>
    <w:p w14:paraId="5E1E8CDE" w14:textId="77777777" w:rsidR="00347C55" w:rsidRDefault="00347C55" w:rsidP="00347C55">
      <w:pPr>
        <w:overflowPunct w:val="0"/>
        <w:autoSpaceDE w:val="0"/>
        <w:autoSpaceDN w:val="0"/>
        <w:spacing w:before="53"/>
        <w:ind w:left="40" w:right="117"/>
        <w:jc w:val="both"/>
        <w:rPr>
          <w:rFonts w:ascii="Arial" w:hAnsi="Arial" w:cs="Arial"/>
          <w:color w:val="2E75B6"/>
        </w:rPr>
      </w:pPr>
    </w:p>
    <w:p w14:paraId="4453CDAF" w14:textId="7EDF5101" w:rsidR="00347C55" w:rsidRPr="00347C55" w:rsidRDefault="00347C55" w:rsidP="00347C55">
      <w:pPr>
        <w:overflowPunct w:val="0"/>
        <w:autoSpaceDE w:val="0"/>
        <w:autoSpaceDN w:val="0"/>
        <w:spacing w:before="53"/>
        <w:ind w:left="40" w:right="117"/>
        <w:jc w:val="both"/>
        <w:rPr>
          <w:rFonts w:ascii="Arial" w:hAnsi="Arial" w:cs="Arial"/>
          <w:color w:val="2E75B6"/>
        </w:rPr>
      </w:pPr>
      <w:r>
        <w:rPr>
          <w:rFonts w:ascii="Arial" w:hAnsi="Arial" w:cs="Arial"/>
          <w:color w:val="2E75B6"/>
        </w:rPr>
        <w:t>The Region 1 Director-Elect shall submit</w:t>
      </w:r>
      <w:r w:rsidRPr="00950182">
        <w:rPr>
          <w:rFonts w:ascii="Arial" w:hAnsi="Arial" w:cs="Arial"/>
          <w:color w:val="2E75B6"/>
        </w:rPr>
        <w:t xml:space="preserve"> </w:t>
      </w:r>
      <w:r>
        <w:rPr>
          <w:rFonts w:ascii="Arial" w:hAnsi="Arial" w:cs="Arial"/>
          <w:color w:val="2E75B6"/>
        </w:rPr>
        <w:t>his/her Area Chair nominees to</w:t>
      </w:r>
      <w:r w:rsidRPr="00950182">
        <w:rPr>
          <w:rFonts w:ascii="Arial" w:hAnsi="Arial" w:cs="Arial"/>
          <w:color w:val="2E75B6"/>
        </w:rPr>
        <w:t xml:space="preserve"> the </w:t>
      </w:r>
      <w:r>
        <w:rPr>
          <w:rFonts w:ascii="Arial" w:hAnsi="Arial" w:cs="Arial"/>
          <w:color w:val="2E75B6"/>
        </w:rPr>
        <w:t xml:space="preserve">Region 1 </w:t>
      </w:r>
      <w:r w:rsidRPr="00950182">
        <w:rPr>
          <w:rFonts w:ascii="Arial" w:hAnsi="Arial" w:cs="Arial"/>
          <w:color w:val="2E75B6"/>
        </w:rPr>
        <w:t>ExCom for approval</w:t>
      </w:r>
      <w:r>
        <w:rPr>
          <w:rFonts w:ascii="Arial" w:hAnsi="Arial" w:cs="Arial"/>
          <w:color w:val="2E75B6"/>
        </w:rPr>
        <w:t xml:space="preserve"> as voting members, during his/her term of office, of both the Region 1 Board of Governors and the Region 1 ExCom.”</w:t>
      </w:r>
    </w:p>
    <w:sectPr w:rsidR="00347C55" w:rsidRPr="00347C55" w:rsidSect="00071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440" w:left="1440" w:header="720" w:footer="2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3BD03" w14:textId="77777777" w:rsidR="004869F9" w:rsidRDefault="004869F9" w:rsidP="00592E2E">
      <w:r>
        <w:separator/>
      </w:r>
    </w:p>
  </w:endnote>
  <w:endnote w:type="continuationSeparator" w:id="0">
    <w:p w14:paraId="1D3AB618" w14:textId="77777777" w:rsidR="004869F9" w:rsidRDefault="004869F9" w:rsidP="0059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72E1F" w14:textId="77777777" w:rsidR="001B2A74" w:rsidRDefault="001B2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680"/>
      <w:gridCol w:w="4680"/>
    </w:tblGrid>
    <w:tr w:rsidR="0026711E" w14:paraId="7AC57448" w14:textId="77777777" w:rsidTr="00091425">
      <w:trPr>
        <w:trHeight w:val="980"/>
      </w:trPr>
      <w:tc>
        <w:tcPr>
          <w:tcW w:w="4788" w:type="dxa"/>
          <w:shd w:val="clear" w:color="auto" w:fill="auto"/>
          <w:vAlign w:val="center"/>
        </w:tcPr>
        <w:p w14:paraId="3977B67F" w14:textId="5B5EB0B0" w:rsidR="0026711E" w:rsidRDefault="0026711E" w:rsidP="0026711E">
          <w:pPr>
            <w:pStyle w:val="Footer"/>
          </w:pPr>
        </w:p>
      </w:tc>
      <w:tc>
        <w:tcPr>
          <w:tcW w:w="4788" w:type="dxa"/>
          <w:shd w:val="clear" w:color="auto" w:fill="auto"/>
          <w:vAlign w:val="center"/>
        </w:tcPr>
        <w:p w14:paraId="40A0FAE2" w14:textId="5AAD35FD" w:rsidR="0026711E" w:rsidRDefault="0026711E" w:rsidP="00091425">
          <w:pPr>
            <w:pStyle w:val="Footer"/>
            <w:jc w:val="right"/>
          </w:pPr>
        </w:p>
      </w:tc>
    </w:tr>
  </w:tbl>
  <w:p w14:paraId="040AF99A" w14:textId="77777777" w:rsidR="00AA7323" w:rsidRPr="0026711E" w:rsidRDefault="00AA7323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9AD68" w14:textId="77777777" w:rsidR="001B2A74" w:rsidRDefault="001B2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7600B" w14:textId="77777777" w:rsidR="004869F9" w:rsidRDefault="004869F9" w:rsidP="00592E2E">
      <w:r>
        <w:separator/>
      </w:r>
    </w:p>
  </w:footnote>
  <w:footnote w:type="continuationSeparator" w:id="0">
    <w:p w14:paraId="371504FE" w14:textId="77777777" w:rsidR="004869F9" w:rsidRDefault="004869F9" w:rsidP="00592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9F1D1" w14:textId="77777777" w:rsidR="001B2A74" w:rsidRDefault="001B2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1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67"/>
      <w:gridCol w:w="1083"/>
    </w:tblGrid>
    <w:tr w:rsidR="00AA7323" w14:paraId="743B306D" w14:textId="77777777" w:rsidTr="00655E11">
      <w:trPr>
        <w:trHeight w:val="288"/>
      </w:trPr>
      <w:tc>
        <w:tcPr>
          <w:tcW w:w="9205" w:type="dxa"/>
        </w:tcPr>
        <w:p w14:paraId="6F70625A" w14:textId="5899791E" w:rsidR="00AA7323" w:rsidRPr="005C6D35" w:rsidRDefault="001B2A74" w:rsidP="003D0437">
          <w:pPr>
            <w:pStyle w:val="Header"/>
            <w:jc w:val="center"/>
            <w:rPr>
              <w:rFonts w:ascii="Cambria" w:hAnsi="Cambria"/>
              <w:i/>
              <w:sz w:val="36"/>
              <w:szCs w:val="36"/>
              <w:lang w:val="en-US" w:eastAsia="en-US"/>
            </w:rPr>
          </w:pPr>
          <w:r>
            <w:rPr>
              <w:b/>
              <w:i/>
              <w:sz w:val="36"/>
              <w:lang w:val="en-US" w:eastAsia="en-US"/>
            </w:rPr>
            <w:t>R1 Board-Approved</w:t>
          </w:r>
          <w:bookmarkStart w:id="0" w:name="_GoBack"/>
          <w:bookmarkEnd w:id="0"/>
          <w:r w:rsidR="00DB7207">
            <w:rPr>
              <w:b/>
              <w:i/>
              <w:sz w:val="36"/>
              <w:lang w:val="en-US" w:eastAsia="en-US"/>
            </w:rPr>
            <w:t xml:space="preserve"> Bylaw 5.2.2 Change</w:t>
          </w:r>
        </w:p>
      </w:tc>
      <w:tc>
        <w:tcPr>
          <w:tcW w:w="989" w:type="dxa"/>
        </w:tcPr>
        <w:p w14:paraId="4579FF12" w14:textId="7FE951FA" w:rsidR="00AA7323" w:rsidRPr="005C6D35" w:rsidRDefault="002B5829" w:rsidP="00655E11">
          <w:pPr>
            <w:pStyle w:val="Header"/>
            <w:jc w:val="center"/>
            <w:rPr>
              <w:rFonts w:ascii="Cambria" w:hAnsi="Cambria"/>
              <w:b/>
              <w:bCs/>
              <w:color w:val="4F81BD"/>
              <w:sz w:val="36"/>
              <w:szCs w:val="36"/>
              <w:lang w:val="en-US" w:eastAsia="en-US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  <w:lang w:val="en-US" w:eastAsia="en-US"/>
            </w:rPr>
            <w:t>201</w:t>
          </w:r>
          <w:r w:rsidR="006655DD">
            <w:rPr>
              <w:rFonts w:ascii="Cambria" w:hAnsi="Cambria"/>
              <w:b/>
              <w:bCs/>
              <w:color w:val="4F81BD"/>
              <w:sz w:val="36"/>
              <w:szCs w:val="36"/>
              <w:lang w:val="en-US" w:eastAsia="en-US"/>
            </w:rPr>
            <w:t>8</w:t>
          </w:r>
        </w:p>
      </w:tc>
    </w:tr>
  </w:tbl>
  <w:p w14:paraId="1DBDAC1A" w14:textId="77777777" w:rsidR="00AA7323" w:rsidRDefault="00AA73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1BD09" w14:textId="77777777" w:rsidR="001B2A74" w:rsidRDefault="001B2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4E8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2FAA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66879"/>
    <w:multiLevelType w:val="hybridMultilevel"/>
    <w:tmpl w:val="0010C0CC"/>
    <w:lvl w:ilvl="0" w:tplc="04090001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4495"/>
    <w:multiLevelType w:val="hybridMultilevel"/>
    <w:tmpl w:val="4356B846"/>
    <w:lvl w:ilvl="0" w:tplc="04090001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E588B"/>
    <w:multiLevelType w:val="hybridMultilevel"/>
    <w:tmpl w:val="569874B2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66E78"/>
    <w:multiLevelType w:val="hybridMultilevel"/>
    <w:tmpl w:val="7314468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0396"/>
    <w:multiLevelType w:val="hybridMultilevel"/>
    <w:tmpl w:val="9B0CC902"/>
    <w:lvl w:ilvl="0" w:tplc="08B8DC5E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75CC7"/>
    <w:multiLevelType w:val="hybridMultilevel"/>
    <w:tmpl w:val="EA9CF252"/>
    <w:lvl w:ilvl="0" w:tplc="04090001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85610"/>
    <w:multiLevelType w:val="hybridMultilevel"/>
    <w:tmpl w:val="50CE6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30F2A"/>
    <w:multiLevelType w:val="hybridMultilevel"/>
    <w:tmpl w:val="B364A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E09DE"/>
    <w:multiLevelType w:val="hybridMultilevel"/>
    <w:tmpl w:val="B7501A5E"/>
    <w:lvl w:ilvl="0" w:tplc="FE78FB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08C2"/>
    <w:multiLevelType w:val="hybridMultilevel"/>
    <w:tmpl w:val="56067992"/>
    <w:lvl w:ilvl="0" w:tplc="04090001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D4"/>
    <w:rsid w:val="00007CF0"/>
    <w:rsid w:val="00012639"/>
    <w:rsid w:val="00012734"/>
    <w:rsid w:val="00012D30"/>
    <w:rsid w:val="00015A04"/>
    <w:rsid w:val="00021733"/>
    <w:rsid w:val="00032E40"/>
    <w:rsid w:val="00047B38"/>
    <w:rsid w:val="00053A0F"/>
    <w:rsid w:val="00054ED7"/>
    <w:rsid w:val="00055FF7"/>
    <w:rsid w:val="0006580B"/>
    <w:rsid w:val="00065E4C"/>
    <w:rsid w:val="00071536"/>
    <w:rsid w:val="00071740"/>
    <w:rsid w:val="000825F0"/>
    <w:rsid w:val="00083CCC"/>
    <w:rsid w:val="00091425"/>
    <w:rsid w:val="0009393B"/>
    <w:rsid w:val="000973A0"/>
    <w:rsid w:val="000B3D94"/>
    <w:rsid w:val="000B56E7"/>
    <w:rsid w:val="000C3778"/>
    <w:rsid w:val="000D20E7"/>
    <w:rsid w:val="000D4BE5"/>
    <w:rsid w:val="000D5B0C"/>
    <w:rsid w:val="000D7F53"/>
    <w:rsid w:val="000E2AFF"/>
    <w:rsid w:val="000F5755"/>
    <w:rsid w:val="00100AEE"/>
    <w:rsid w:val="00110385"/>
    <w:rsid w:val="0011060D"/>
    <w:rsid w:val="00110F10"/>
    <w:rsid w:val="0011778A"/>
    <w:rsid w:val="001216A5"/>
    <w:rsid w:val="00126DA9"/>
    <w:rsid w:val="00131D49"/>
    <w:rsid w:val="00142186"/>
    <w:rsid w:val="00144393"/>
    <w:rsid w:val="0014519F"/>
    <w:rsid w:val="00156EF5"/>
    <w:rsid w:val="00166D57"/>
    <w:rsid w:val="001766E2"/>
    <w:rsid w:val="00182DF7"/>
    <w:rsid w:val="001A2AA5"/>
    <w:rsid w:val="001A4A6B"/>
    <w:rsid w:val="001A6F54"/>
    <w:rsid w:val="001B2A74"/>
    <w:rsid w:val="001B30DE"/>
    <w:rsid w:val="001B6D16"/>
    <w:rsid w:val="001C1D54"/>
    <w:rsid w:val="001C2C8F"/>
    <w:rsid w:val="001C7368"/>
    <w:rsid w:val="001D1053"/>
    <w:rsid w:val="001D4D43"/>
    <w:rsid w:val="001E0442"/>
    <w:rsid w:val="001E143F"/>
    <w:rsid w:val="001E7B0F"/>
    <w:rsid w:val="001F3889"/>
    <w:rsid w:val="001F4D34"/>
    <w:rsid w:val="002044AE"/>
    <w:rsid w:val="0021313A"/>
    <w:rsid w:val="002172C0"/>
    <w:rsid w:val="002207E0"/>
    <w:rsid w:val="002264D0"/>
    <w:rsid w:val="0022668A"/>
    <w:rsid w:val="00227EB2"/>
    <w:rsid w:val="00236E75"/>
    <w:rsid w:val="002411EE"/>
    <w:rsid w:val="00241B8A"/>
    <w:rsid w:val="002425D0"/>
    <w:rsid w:val="002432E4"/>
    <w:rsid w:val="00251135"/>
    <w:rsid w:val="0025163C"/>
    <w:rsid w:val="00255F01"/>
    <w:rsid w:val="0026022C"/>
    <w:rsid w:val="00263732"/>
    <w:rsid w:val="0026711E"/>
    <w:rsid w:val="00282139"/>
    <w:rsid w:val="002823EA"/>
    <w:rsid w:val="002864D9"/>
    <w:rsid w:val="00296130"/>
    <w:rsid w:val="002A33B5"/>
    <w:rsid w:val="002A6A35"/>
    <w:rsid w:val="002B04FD"/>
    <w:rsid w:val="002B27CB"/>
    <w:rsid w:val="002B5829"/>
    <w:rsid w:val="002B7868"/>
    <w:rsid w:val="002C0F6D"/>
    <w:rsid w:val="002C56FD"/>
    <w:rsid w:val="002D28F9"/>
    <w:rsid w:val="002D46F0"/>
    <w:rsid w:val="002D638E"/>
    <w:rsid w:val="002D7B2B"/>
    <w:rsid w:val="002F1AEF"/>
    <w:rsid w:val="00300857"/>
    <w:rsid w:val="00302551"/>
    <w:rsid w:val="00302998"/>
    <w:rsid w:val="0030631C"/>
    <w:rsid w:val="00312EBC"/>
    <w:rsid w:val="00326848"/>
    <w:rsid w:val="00334123"/>
    <w:rsid w:val="00334983"/>
    <w:rsid w:val="00345493"/>
    <w:rsid w:val="0034746D"/>
    <w:rsid w:val="00347B7E"/>
    <w:rsid w:val="00347C55"/>
    <w:rsid w:val="00355078"/>
    <w:rsid w:val="00360DE4"/>
    <w:rsid w:val="00361033"/>
    <w:rsid w:val="00361C6B"/>
    <w:rsid w:val="003777C7"/>
    <w:rsid w:val="00384DEE"/>
    <w:rsid w:val="003861BB"/>
    <w:rsid w:val="003B6A7B"/>
    <w:rsid w:val="003C5503"/>
    <w:rsid w:val="003C5B6C"/>
    <w:rsid w:val="003D0437"/>
    <w:rsid w:val="003D13C0"/>
    <w:rsid w:val="003D5FF9"/>
    <w:rsid w:val="003D7904"/>
    <w:rsid w:val="003D7AD3"/>
    <w:rsid w:val="003E0C13"/>
    <w:rsid w:val="003E0CCB"/>
    <w:rsid w:val="003F18A4"/>
    <w:rsid w:val="003F3759"/>
    <w:rsid w:val="003F39BF"/>
    <w:rsid w:val="0040225F"/>
    <w:rsid w:val="00402CE0"/>
    <w:rsid w:val="00405895"/>
    <w:rsid w:val="00407991"/>
    <w:rsid w:val="00407D19"/>
    <w:rsid w:val="004114FB"/>
    <w:rsid w:val="0042576A"/>
    <w:rsid w:val="00427421"/>
    <w:rsid w:val="00434689"/>
    <w:rsid w:val="004352BC"/>
    <w:rsid w:val="00444246"/>
    <w:rsid w:val="00445665"/>
    <w:rsid w:val="004805D9"/>
    <w:rsid w:val="004845AC"/>
    <w:rsid w:val="00485FF6"/>
    <w:rsid w:val="004862F4"/>
    <w:rsid w:val="004869F9"/>
    <w:rsid w:val="004A5622"/>
    <w:rsid w:val="004B1173"/>
    <w:rsid w:val="004B13C1"/>
    <w:rsid w:val="004B28B2"/>
    <w:rsid w:val="004B7298"/>
    <w:rsid w:val="004B7426"/>
    <w:rsid w:val="004C51CE"/>
    <w:rsid w:val="004D12AE"/>
    <w:rsid w:val="004D50A9"/>
    <w:rsid w:val="004E1A46"/>
    <w:rsid w:val="004E436B"/>
    <w:rsid w:val="004E7281"/>
    <w:rsid w:val="005036CF"/>
    <w:rsid w:val="0051185E"/>
    <w:rsid w:val="00515F20"/>
    <w:rsid w:val="00525E60"/>
    <w:rsid w:val="0053782A"/>
    <w:rsid w:val="00537E40"/>
    <w:rsid w:val="0054050E"/>
    <w:rsid w:val="005412FE"/>
    <w:rsid w:val="00544EC6"/>
    <w:rsid w:val="005604C6"/>
    <w:rsid w:val="005630C7"/>
    <w:rsid w:val="00563CA0"/>
    <w:rsid w:val="0056559C"/>
    <w:rsid w:val="005901CB"/>
    <w:rsid w:val="00590900"/>
    <w:rsid w:val="0059257C"/>
    <w:rsid w:val="00592E2E"/>
    <w:rsid w:val="005A12C2"/>
    <w:rsid w:val="005A2222"/>
    <w:rsid w:val="005B0853"/>
    <w:rsid w:val="005B106D"/>
    <w:rsid w:val="005B2710"/>
    <w:rsid w:val="005B4428"/>
    <w:rsid w:val="005C4340"/>
    <w:rsid w:val="005C44CE"/>
    <w:rsid w:val="005C4A9A"/>
    <w:rsid w:val="005C6D35"/>
    <w:rsid w:val="005D4584"/>
    <w:rsid w:val="005D6819"/>
    <w:rsid w:val="005E19A8"/>
    <w:rsid w:val="005E5199"/>
    <w:rsid w:val="005F7D38"/>
    <w:rsid w:val="0060361C"/>
    <w:rsid w:val="00607C4A"/>
    <w:rsid w:val="00612818"/>
    <w:rsid w:val="00616567"/>
    <w:rsid w:val="00616BF5"/>
    <w:rsid w:val="00623BEE"/>
    <w:rsid w:val="006316D5"/>
    <w:rsid w:val="00634101"/>
    <w:rsid w:val="0063722A"/>
    <w:rsid w:val="00646A2F"/>
    <w:rsid w:val="00646E0E"/>
    <w:rsid w:val="00647869"/>
    <w:rsid w:val="00652A02"/>
    <w:rsid w:val="00655E11"/>
    <w:rsid w:val="00660379"/>
    <w:rsid w:val="006655DD"/>
    <w:rsid w:val="00684711"/>
    <w:rsid w:val="0068659D"/>
    <w:rsid w:val="006A5085"/>
    <w:rsid w:val="006A77D3"/>
    <w:rsid w:val="006B1F5A"/>
    <w:rsid w:val="006B3F5E"/>
    <w:rsid w:val="006B6A64"/>
    <w:rsid w:val="006B7300"/>
    <w:rsid w:val="006B7E8A"/>
    <w:rsid w:val="006C2BDD"/>
    <w:rsid w:val="006C46C5"/>
    <w:rsid w:val="006C4FC7"/>
    <w:rsid w:val="006C70F2"/>
    <w:rsid w:val="006C795D"/>
    <w:rsid w:val="006D29CC"/>
    <w:rsid w:val="006D666E"/>
    <w:rsid w:val="006E035C"/>
    <w:rsid w:val="006F2E9D"/>
    <w:rsid w:val="007032AD"/>
    <w:rsid w:val="00704C08"/>
    <w:rsid w:val="00710EBC"/>
    <w:rsid w:val="00716B47"/>
    <w:rsid w:val="00721915"/>
    <w:rsid w:val="00733EB3"/>
    <w:rsid w:val="0073532D"/>
    <w:rsid w:val="00741AEA"/>
    <w:rsid w:val="00741FD7"/>
    <w:rsid w:val="007534B6"/>
    <w:rsid w:val="00756E55"/>
    <w:rsid w:val="00765002"/>
    <w:rsid w:val="007668AB"/>
    <w:rsid w:val="00767184"/>
    <w:rsid w:val="007707AD"/>
    <w:rsid w:val="00772290"/>
    <w:rsid w:val="007777C6"/>
    <w:rsid w:val="00785CDD"/>
    <w:rsid w:val="00790FC0"/>
    <w:rsid w:val="00796ABA"/>
    <w:rsid w:val="00797C0E"/>
    <w:rsid w:val="007A025C"/>
    <w:rsid w:val="007A34F0"/>
    <w:rsid w:val="007A5942"/>
    <w:rsid w:val="007A73FA"/>
    <w:rsid w:val="007B0545"/>
    <w:rsid w:val="007B7739"/>
    <w:rsid w:val="007C1040"/>
    <w:rsid w:val="007C28DC"/>
    <w:rsid w:val="007C314B"/>
    <w:rsid w:val="007D2177"/>
    <w:rsid w:val="007D52B6"/>
    <w:rsid w:val="007D7805"/>
    <w:rsid w:val="007E3931"/>
    <w:rsid w:val="007E4347"/>
    <w:rsid w:val="007E6856"/>
    <w:rsid w:val="007F1379"/>
    <w:rsid w:val="00800580"/>
    <w:rsid w:val="00821C1B"/>
    <w:rsid w:val="008222DC"/>
    <w:rsid w:val="00827639"/>
    <w:rsid w:val="00831E09"/>
    <w:rsid w:val="00835209"/>
    <w:rsid w:val="00845574"/>
    <w:rsid w:val="00862080"/>
    <w:rsid w:val="00872FB1"/>
    <w:rsid w:val="00875141"/>
    <w:rsid w:val="00876205"/>
    <w:rsid w:val="008767D0"/>
    <w:rsid w:val="008772FA"/>
    <w:rsid w:val="008833FD"/>
    <w:rsid w:val="00885094"/>
    <w:rsid w:val="00885CCA"/>
    <w:rsid w:val="0089518F"/>
    <w:rsid w:val="00897231"/>
    <w:rsid w:val="008A059C"/>
    <w:rsid w:val="008A1120"/>
    <w:rsid w:val="008A1C5F"/>
    <w:rsid w:val="008A7988"/>
    <w:rsid w:val="008B30BB"/>
    <w:rsid w:val="008B33C6"/>
    <w:rsid w:val="008B4108"/>
    <w:rsid w:val="008B7EB6"/>
    <w:rsid w:val="008C0C5D"/>
    <w:rsid w:val="008D0FEE"/>
    <w:rsid w:val="008D1587"/>
    <w:rsid w:val="008D3496"/>
    <w:rsid w:val="008E17E6"/>
    <w:rsid w:val="008F2523"/>
    <w:rsid w:val="008F3FE1"/>
    <w:rsid w:val="008F5FCC"/>
    <w:rsid w:val="00902A93"/>
    <w:rsid w:val="0090545E"/>
    <w:rsid w:val="009139E6"/>
    <w:rsid w:val="0091424C"/>
    <w:rsid w:val="00914878"/>
    <w:rsid w:val="0091724A"/>
    <w:rsid w:val="0091761D"/>
    <w:rsid w:val="0092786F"/>
    <w:rsid w:val="009425FF"/>
    <w:rsid w:val="00950182"/>
    <w:rsid w:val="00953548"/>
    <w:rsid w:val="00957B0C"/>
    <w:rsid w:val="00962477"/>
    <w:rsid w:val="00971C23"/>
    <w:rsid w:val="00972382"/>
    <w:rsid w:val="009777B7"/>
    <w:rsid w:val="00980EF5"/>
    <w:rsid w:val="00987D7E"/>
    <w:rsid w:val="00995BF3"/>
    <w:rsid w:val="009974A3"/>
    <w:rsid w:val="009A4D2B"/>
    <w:rsid w:val="009A5C80"/>
    <w:rsid w:val="009B33E4"/>
    <w:rsid w:val="009B4E6A"/>
    <w:rsid w:val="009C0F35"/>
    <w:rsid w:val="009C7461"/>
    <w:rsid w:val="009E27F7"/>
    <w:rsid w:val="00A12A04"/>
    <w:rsid w:val="00A1344C"/>
    <w:rsid w:val="00A25A2D"/>
    <w:rsid w:val="00A26597"/>
    <w:rsid w:val="00A328B6"/>
    <w:rsid w:val="00A452C1"/>
    <w:rsid w:val="00A45BC1"/>
    <w:rsid w:val="00A56178"/>
    <w:rsid w:val="00A56993"/>
    <w:rsid w:val="00A6509B"/>
    <w:rsid w:val="00A66357"/>
    <w:rsid w:val="00A736DC"/>
    <w:rsid w:val="00A749E1"/>
    <w:rsid w:val="00A900FF"/>
    <w:rsid w:val="00AA19AB"/>
    <w:rsid w:val="00AA7323"/>
    <w:rsid w:val="00AB5419"/>
    <w:rsid w:val="00AB59CF"/>
    <w:rsid w:val="00AC0940"/>
    <w:rsid w:val="00AC10FF"/>
    <w:rsid w:val="00AC3E49"/>
    <w:rsid w:val="00AC4631"/>
    <w:rsid w:val="00AD1B40"/>
    <w:rsid w:val="00AD1D9C"/>
    <w:rsid w:val="00AD6729"/>
    <w:rsid w:val="00AD7D53"/>
    <w:rsid w:val="00AE1C62"/>
    <w:rsid w:val="00AE2164"/>
    <w:rsid w:val="00AF0AC4"/>
    <w:rsid w:val="00AF42DB"/>
    <w:rsid w:val="00B04FD6"/>
    <w:rsid w:val="00B166AF"/>
    <w:rsid w:val="00B30119"/>
    <w:rsid w:val="00B32668"/>
    <w:rsid w:val="00B34C34"/>
    <w:rsid w:val="00B36BA7"/>
    <w:rsid w:val="00B41F03"/>
    <w:rsid w:val="00B50785"/>
    <w:rsid w:val="00B52C07"/>
    <w:rsid w:val="00B708A9"/>
    <w:rsid w:val="00B75F46"/>
    <w:rsid w:val="00B76EC4"/>
    <w:rsid w:val="00B77B7E"/>
    <w:rsid w:val="00B929BE"/>
    <w:rsid w:val="00B94459"/>
    <w:rsid w:val="00BA5D28"/>
    <w:rsid w:val="00BA6088"/>
    <w:rsid w:val="00BB1778"/>
    <w:rsid w:val="00BC32CB"/>
    <w:rsid w:val="00BD41A5"/>
    <w:rsid w:val="00BD52F6"/>
    <w:rsid w:val="00BD65FE"/>
    <w:rsid w:val="00BD7425"/>
    <w:rsid w:val="00BD7428"/>
    <w:rsid w:val="00BE3CE6"/>
    <w:rsid w:val="00BE58C5"/>
    <w:rsid w:val="00BF5E51"/>
    <w:rsid w:val="00C11CFC"/>
    <w:rsid w:val="00C12092"/>
    <w:rsid w:val="00C40BD6"/>
    <w:rsid w:val="00C411C3"/>
    <w:rsid w:val="00C43153"/>
    <w:rsid w:val="00C4514B"/>
    <w:rsid w:val="00C55234"/>
    <w:rsid w:val="00C6115E"/>
    <w:rsid w:val="00C735C0"/>
    <w:rsid w:val="00C74BB7"/>
    <w:rsid w:val="00C762A2"/>
    <w:rsid w:val="00C871E7"/>
    <w:rsid w:val="00C93498"/>
    <w:rsid w:val="00CA688E"/>
    <w:rsid w:val="00CA794C"/>
    <w:rsid w:val="00CA7B32"/>
    <w:rsid w:val="00CB12F2"/>
    <w:rsid w:val="00CB1C3B"/>
    <w:rsid w:val="00CC24C6"/>
    <w:rsid w:val="00CC3FB4"/>
    <w:rsid w:val="00CD32F2"/>
    <w:rsid w:val="00CD37E2"/>
    <w:rsid w:val="00CE12E7"/>
    <w:rsid w:val="00CE25D4"/>
    <w:rsid w:val="00CE66B1"/>
    <w:rsid w:val="00CE6793"/>
    <w:rsid w:val="00CE72D0"/>
    <w:rsid w:val="00CE764F"/>
    <w:rsid w:val="00CF01B3"/>
    <w:rsid w:val="00CF79B2"/>
    <w:rsid w:val="00D10279"/>
    <w:rsid w:val="00D152DE"/>
    <w:rsid w:val="00D26FFF"/>
    <w:rsid w:val="00D274AD"/>
    <w:rsid w:val="00D3027D"/>
    <w:rsid w:val="00D308AE"/>
    <w:rsid w:val="00D471DE"/>
    <w:rsid w:val="00D47E33"/>
    <w:rsid w:val="00D528F1"/>
    <w:rsid w:val="00D52907"/>
    <w:rsid w:val="00D55998"/>
    <w:rsid w:val="00D56E56"/>
    <w:rsid w:val="00D6035E"/>
    <w:rsid w:val="00D60B8A"/>
    <w:rsid w:val="00D62188"/>
    <w:rsid w:val="00D6754B"/>
    <w:rsid w:val="00D70957"/>
    <w:rsid w:val="00D73ACF"/>
    <w:rsid w:val="00D76289"/>
    <w:rsid w:val="00D767C9"/>
    <w:rsid w:val="00D80700"/>
    <w:rsid w:val="00D8391B"/>
    <w:rsid w:val="00D85D05"/>
    <w:rsid w:val="00D9789C"/>
    <w:rsid w:val="00DA35BB"/>
    <w:rsid w:val="00DB7207"/>
    <w:rsid w:val="00DE1D87"/>
    <w:rsid w:val="00DF17AF"/>
    <w:rsid w:val="00DF34D7"/>
    <w:rsid w:val="00DF6181"/>
    <w:rsid w:val="00E032F6"/>
    <w:rsid w:val="00E03876"/>
    <w:rsid w:val="00E21FC6"/>
    <w:rsid w:val="00E3382F"/>
    <w:rsid w:val="00E36E69"/>
    <w:rsid w:val="00E37959"/>
    <w:rsid w:val="00E40246"/>
    <w:rsid w:val="00E4760A"/>
    <w:rsid w:val="00E479FD"/>
    <w:rsid w:val="00E50993"/>
    <w:rsid w:val="00E53199"/>
    <w:rsid w:val="00E547F0"/>
    <w:rsid w:val="00E54C43"/>
    <w:rsid w:val="00E5614E"/>
    <w:rsid w:val="00E57201"/>
    <w:rsid w:val="00E606F4"/>
    <w:rsid w:val="00E749FB"/>
    <w:rsid w:val="00E8504A"/>
    <w:rsid w:val="00E877E3"/>
    <w:rsid w:val="00EA4250"/>
    <w:rsid w:val="00EA524F"/>
    <w:rsid w:val="00EB062C"/>
    <w:rsid w:val="00EB1553"/>
    <w:rsid w:val="00EB2789"/>
    <w:rsid w:val="00EB30ED"/>
    <w:rsid w:val="00EB31CE"/>
    <w:rsid w:val="00EB518F"/>
    <w:rsid w:val="00EB5B12"/>
    <w:rsid w:val="00EC0A35"/>
    <w:rsid w:val="00EC555B"/>
    <w:rsid w:val="00EC698E"/>
    <w:rsid w:val="00EC77B7"/>
    <w:rsid w:val="00ED341D"/>
    <w:rsid w:val="00EE127A"/>
    <w:rsid w:val="00EE2616"/>
    <w:rsid w:val="00EF4623"/>
    <w:rsid w:val="00EF4938"/>
    <w:rsid w:val="00EF739C"/>
    <w:rsid w:val="00F05FD8"/>
    <w:rsid w:val="00F06D19"/>
    <w:rsid w:val="00F1107B"/>
    <w:rsid w:val="00F164FB"/>
    <w:rsid w:val="00F23638"/>
    <w:rsid w:val="00F26B79"/>
    <w:rsid w:val="00F26DE4"/>
    <w:rsid w:val="00F371C4"/>
    <w:rsid w:val="00F4075F"/>
    <w:rsid w:val="00F415DE"/>
    <w:rsid w:val="00F452C6"/>
    <w:rsid w:val="00F5146F"/>
    <w:rsid w:val="00F5556E"/>
    <w:rsid w:val="00F74F72"/>
    <w:rsid w:val="00F768E4"/>
    <w:rsid w:val="00F838FB"/>
    <w:rsid w:val="00F83D67"/>
    <w:rsid w:val="00F86A0D"/>
    <w:rsid w:val="00F86A2F"/>
    <w:rsid w:val="00F86FB6"/>
    <w:rsid w:val="00FA25C5"/>
    <w:rsid w:val="00FA34D2"/>
    <w:rsid w:val="00FB7EE2"/>
    <w:rsid w:val="00FD05BE"/>
    <w:rsid w:val="00FD12BC"/>
    <w:rsid w:val="00FD30BD"/>
    <w:rsid w:val="00FE16CC"/>
    <w:rsid w:val="00FE7F95"/>
    <w:rsid w:val="00FF300E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3B9F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4428"/>
    <w:rPr>
      <w:strike w:val="0"/>
      <w:dstrike w:val="0"/>
      <w:color w:val="2C56AC"/>
      <w:u w:val="none"/>
      <w:effect w:val="none"/>
    </w:rPr>
  </w:style>
  <w:style w:type="paragraph" w:styleId="NormalWeb">
    <w:name w:val="Normal (Web)"/>
    <w:basedOn w:val="Normal"/>
    <w:rsid w:val="005B4428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Bullet">
    <w:name w:val="List Bullet"/>
    <w:basedOn w:val="Normal"/>
    <w:autoRedefine/>
    <w:rsid w:val="00607C4A"/>
  </w:style>
  <w:style w:type="paragraph" w:styleId="BalloonText">
    <w:name w:val="Balloon Text"/>
    <w:basedOn w:val="Normal"/>
    <w:link w:val="BalloonTextChar"/>
    <w:rsid w:val="00AC094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C09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2E2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92E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2E2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92E2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592E2E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592E2E"/>
    <w:rPr>
      <w:rFonts w:ascii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D60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10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Links>
    <vt:vector size="12" baseType="variant">
      <vt:variant>
        <vt:i4>4456504</vt:i4>
      </vt:variant>
      <vt:variant>
        <vt:i4>2087</vt:i4>
      </vt:variant>
      <vt:variant>
        <vt:i4>1025</vt:i4>
      </vt:variant>
      <vt:variant>
        <vt:i4>1</vt:i4>
      </vt:variant>
      <vt:variant>
        <vt:lpwstr>IEEEUSA-Logo-CMYK</vt:lpwstr>
      </vt:variant>
      <vt:variant>
        <vt:lpwstr/>
      </vt:variant>
      <vt:variant>
        <vt:i4>3407915</vt:i4>
      </vt:variant>
      <vt:variant>
        <vt:i4>2089</vt:i4>
      </vt:variant>
      <vt:variant>
        <vt:i4>1026</vt:i4>
      </vt:variant>
      <vt:variant>
        <vt:i4>1</vt:i4>
      </vt:variant>
      <vt:variant>
        <vt:lpwstr>IEEE_MB_CMYK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Charles Rubenstein</dc:creator>
  <cp:keywords/>
  <cp:lastModifiedBy>Charles Rubenstein</cp:lastModifiedBy>
  <cp:revision>4</cp:revision>
  <cp:lastPrinted>2016-01-26T18:56:00Z</cp:lastPrinted>
  <dcterms:created xsi:type="dcterms:W3CDTF">2018-08-12T18:27:00Z</dcterms:created>
  <dcterms:modified xsi:type="dcterms:W3CDTF">2018-08-12T18:41:00Z</dcterms:modified>
</cp:coreProperties>
</file>